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tab/>
        <w:tab/>
        <w:t xml:space="preserve">NOVA SCOTIA POSTING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Nova Scotia’s employment laws require employers to post essential information related to workers' rights, employment standards, health and safety. By having these posters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hyperlink r:id="rId6">
        <w:r w:rsidDel="00000000" w:rsidR="00000000" w:rsidRPr="00000000">
          <w:rPr>
            <w:rFonts w:ascii="Calibri" w:cs="Calibri" w:eastAsia="Calibri" w:hAnsi="Calibri"/>
            <w:sz w:val="28"/>
            <w:szCs w:val="28"/>
            <w:rtl w:val="0"/>
          </w:rPr>
          <w:t xml:space="preserve">OCCUPATIONAL HEALTH AND SAFETY ACT</w:t>
        </w:r>
      </w:hyperlink>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All workplaces covered by the Nova Scotia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(the “OHS Act”)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must post the following in a prominent place at the workplace: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Names and contact information of the health and safety committee members, if applicable. </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 and contact information of the current health and safety representative, if applicable.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minutes of the most recent committee meeting until they are replaced by the minutes of the next committee meeting. </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current copy of the OHS Act. </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code of practice required by the OHS Act or regulations. </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current phone number for reporting occupational health and safety concerns to the Division (“Division” means the Occupational Health and Safety Division of the Department of Labour and Advanced Education). </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five or more employees are regularly employed by the employer, an occupational health and safety policy.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order, compliance notice, notice of appeal or decision and an edited order</w:t>
        <w:tab/>
        <w:t xml:space="preserve"> </w:t>
        <w:tab/>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application for an appeal and notice of appeal</w:t>
        <w:tab/>
        <w:t xml:space="preserve"> </w:t>
        <w:tab/>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application for a deviation from the regulations</w:t>
        <w:tab/>
        <w:t xml:space="preserve"> </w:t>
        <w:tab/>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decision on such application</w:t>
      </w:r>
    </w:p>
    <w:p w:rsidR="00000000" w:rsidDel="00000000" w:rsidP="00000000" w:rsidRDefault="00000000" w:rsidRPr="00000000" w14:paraId="00000013">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WORKPLACE HEALTH AND SAFETY REGULATIONS</w:t>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t xml:space="preserve">All workplaces covered by the Nova Scotia </w:t>
      </w:r>
      <w:r w:rsidDel="00000000" w:rsidR="00000000" w:rsidRPr="00000000">
        <w:rPr>
          <w:rFonts w:ascii="Calibri" w:cs="Calibri" w:eastAsia="Calibri" w:hAnsi="Calibri"/>
          <w:i w:val="1"/>
          <w:rtl w:val="0"/>
        </w:rPr>
        <w:t xml:space="preserve">Workplace Health and Safety Regulations </w:t>
      </w:r>
      <w:r w:rsidDel="00000000" w:rsidR="00000000" w:rsidRPr="00000000">
        <w:rPr>
          <w:rFonts w:ascii="Calibri" w:cs="Calibri" w:eastAsia="Calibri" w:hAnsi="Calibri"/>
          <w:rtl w:val="0"/>
        </w:rPr>
        <w:t xml:space="preserve">must post the following in a prominent place at the workplace: </w:t>
        <w:br w:type="textWrapping"/>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location(s) of all the first aid supplies in the workplace and the name and location or phone number of the first aid attendant, if applicable</w:t>
        <w:tab/>
        <w:t xml:space="preserve"> </w:t>
        <w:tab/>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Emergency telephone numbers (in the first aid room)</w:t>
      </w:r>
    </w:p>
    <w:p w:rsidR="00000000" w:rsidDel="00000000" w:rsidP="00000000" w:rsidRDefault="00000000" w:rsidRPr="00000000" w14:paraId="00000018">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ADDITIONAL OCCUPATIONAL HEALTH AND SAFETY POSTING REQUIREMENTS</w:t>
      </w:r>
    </w:p>
    <w:p w:rsidR="00000000" w:rsidDel="00000000" w:rsidP="00000000" w:rsidRDefault="00000000" w:rsidRPr="00000000" w14:paraId="00000019">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names of any gases stored in the workplace and signs prohibiting smoking in any storage area for portable compressed gas cylinders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readable statement of a hoisting devices rated load so the operator is able to see it when using the hoist</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maximum number of revolutions per minute of an abrasive wheel and a grinder on</w:t>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wheel and grinder. </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sign on the outside of a room where electrical components are rated at more than 750 v</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phase to phase, that legibly states "Danger - High Voltage"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current, valid certification at the entrance of a confined space for however long the confined space is occupied.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lii.org/en/ns/laws/stat/sns-1996-c-7/latest/sns-1996-c-7.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